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Merge Workflow Automation</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Automating and orchestrating merge decisions, exceptions, and post-merge synchronization</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Merge Workflow Automation</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04 — Match &amp; Merge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MM-003</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Merge workflow automation is the operational layer that connects Reltio's match engine to downstream systems, stewardship processes, and business workflows. This guide covers automating merge decisions, configuring merge workflows, handling merge exceptions, and ensuring post-merge synchronization propagates golden record changes to all downstream consumers. Effective automation reduces manual stewardship by 70%+ while maintaining human oversight for high-stakes decisions.</w:t>
      </w:r>
    </w:p>
    <w:p/>
    <w:p>
      <w:pPr>
        <w:pStyle w:val="Heading1"/>
      </w:pPr>
      <w:r>
        <w:t>Table of Contents</w:t>
      </w:r>
    </w:p>
    <w:p>
      <w:pPr>
        <w:spacing w:after="60"/>
      </w:pPr>
      <w:r>
        <w:rPr>
          <w:color w:val="0C548A"/>
          <w:sz w:val="22"/>
        </w:rPr>
        <w:t>1.0  Merge Workflow Architecture</w:t>
      </w:r>
    </w:p>
    <w:p>
      <w:pPr>
        <w:spacing w:after="60"/>
      </w:pPr>
      <w:r>
        <w:rPr>
          <w:color w:val="0C548A"/>
          <w:sz w:val="22"/>
        </w:rPr>
        <w:t>2.0  Auto-Merge Configuration</w:t>
      </w:r>
    </w:p>
    <w:p>
      <w:pPr>
        <w:spacing w:after="60"/>
      </w:pPr>
      <w:r>
        <w:rPr>
          <w:color w:val="0C548A"/>
          <w:sz w:val="22"/>
        </w:rPr>
        <w:t>3.0  Review Workflow Design</w:t>
      </w:r>
    </w:p>
    <w:p>
      <w:pPr>
        <w:spacing w:after="60"/>
      </w:pPr>
      <w:r>
        <w:rPr>
          <w:color w:val="0C548A"/>
          <w:sz w:val="22"/>
        </w:rPr>
        <w:t>4.0  Post-Merge Synchronization</w:t>
      </w:r>
    </w:p>
    <w:p>
      <w:pPr>
        <w:spacing w:after="60"/>
      </w:pPr>
      <w:r>
        <w:rPr>
          <w:color w:val="0C548A"/>
          <w:sz w:val="22"/>
        </w:rPr>
        <w:t>5.0  Unmerge &amp; Split Operations</w:t>
      </w:r>
    </w:p>
    <w:p>
      <w:pPr>
        <w:spacing w:after="60"/>
      </w:pPr>
      <w:r>
        <w:rPr>
          <w:color w:val="0C548A"/>
          <w:sz w:val="22"/>
        </w:rPr>
        <w:t>6.0  Merge Audit &amp; Compliance</w:t>
      </w:r>
    </w:p>
    <w:p>
      <w:r>
        <w:br w:type="page"/>
      </w:r>
    </w:p>
    <w:p>
      <w:pPr>
        <w:pStyle w:val="Heading1"/>
      </w:pPr>
      <w:r>
        <w:t>1. Merge Workflow Architecture</w:t>
      </w:r>
    </w:p>
    <w:p>
      <w:pPr>
        <w:pStyle w:val="NoSpacing"/>
        <w:shd w:fill="F5F5F5" w:val="clear"/>
        <w:ind w:left="432"/>
      </w:pPr>
      <w:r>
        <w:rPr>
          <w:rFonts w:ascii="Consolas" w:hAnsi="Consolas"/>
          <w:sz w:val="18"/>
        </w:rPr>
        <w:t>MERGE WORKFLOW FLOW:</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Entity A + Entity B → Match Engine → Confidence Score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                                             │</w:t>
      </w:r>
    </w:p>
    <w:p>
      <w:pPr>
        <w:pStyle w:val="NoSpacing"/>
        <w:shd w:fill="F5F5F5" w:val="clear"/>
        <w:ind w:left="432"/>
      </w:pPr>
      <w:r>
        <w:rPr>
          <w:rFonts w:ascii="Consolas" w:hAnsi="Consolas"/>
          <w:sz w:val="18"/>
        </w:rPr>
        <w:t xml:space="preserve">              Score &gt; 0.95                               0.70 &lt; Score &lt; 0.95</w:t>
      </w:r>
    </w:p>
    <w:p>
      <w:pPr>
        <w:pStyle w:val="NoSpacing"/>
        <w:shd w:fill="F5F5F5" w:val="clear"/>
        <w:ind w:left="432"/>
      </w:pPr>
      <w:r>
        <w:rPr>
          <w:rFonts w:ascii="Consolas" w:hAnsi="Consolas"/>
          <w:sz w:val="18"/>
        </w:rPr>
        <w:t xml:space="preserve">                    │                                             │</w:t>
      </w:r>
    </w:p>
    <w:p>
      <w:pPr>
        <w:pStyle w:val="NoSpacing"/>
        <w:shd w:fill="F5F5F5" w:val="clear"/>
        <w:ind w:left="432"/>
      </w:pPr>
      <w:r>
        <w:rPr>
          <w:rFonts w:ascii="Consolas" w:hAnsi="Consolas"/>
          <w:sz w:val="18"/>
        </w:rPr>
        <w:t xml:space="preserve">              AUTO-MERGE                                   REVIEW QUEUE</w:t>
      </w:r>
    </w:p>
    <w:p>
      <w:pPr>
        <w:pStyle w:val="NoSpacing"/>
        <w:shd w:fill="F5F5F5" w:val="clear"/>
        <w:ind w:left="432"/>
      </w:pPr>
      <w:r>
        <w:rPr>
          <w:rFonts w:ascii="Consolas" w:hAnsi="Consolas"/>
          <w:sz w:val="18"/>
        </w:rPr>
        <w:t xml:space="preserve">              → Survivorship                               → Steward Task</w:t>
      </w:r>
    </w:p>
    <w:p>
      <w:pPr>
        <w:pStyle w:val="NoSpacing"/>
        <w:shd w:fill="F5F5F5" w:val="clear"/>
        <w:ind w:left="432"/>
      </w:pPr>
      <w:r>
        <w:rPr>
          <w:rFonts w:ascii="Consolas" w:hAnsi="Consolas"/>
          <w:sz w:val="18"/>
        </w:rPr>
        <w:t xml:space="preserve">              → Golden Record                              → Decision UI</w:t>
      </w:r>
    </w:p>
    <w:p>
      <w:pPr>
        <w:pStyle w:val="NoSpacing"/>
        <w:shd w:fill="F5F5F5" w:val="clear"/>
        <w:ind w:left="432"/>
      </w:pPr>
      <w:r>
        <w:rPr>
          <w:rFonts w:ascii="Consolas" w:hAnsi="Consolas"/>
          <w:sz w:val="18"/>
        </w:rPr>
        <w:t xml:space="preserve">              → Stream Event                               → Approve/Reject</w:t>
      </w:r>
    </w:p>
    <w:p>
      <w:pPr>
        <w:pStyle w:val="NoSpacing"/>
        <w:shd w:fill="F5F5F5" w:val="clear"/>
        <w:ind w:left="432"/>
      </w:pPr>
      <w:r>
        <w:rPr>
          <w:rFonts w:ascii="Consolas" w:hAnsi="Consolas"/>
          <w:sz w:val="18"/>
        </w:rPr>
        <w:t xml:space="preserve">              → Downstream Sync                            → Feedback Loop</w:t>
      </w:r>
    </w:p>
    <w:p/>
    <w:p>
      <w:pPr>
        <w:pStyle w:val="Heading1"/>
      </w:pPr>
      <w:r>
        <w:t>2. Auto-Merge Configuration</w:t>
      </w:r>
    </w:p>
    <w:p>
      <w:pPr>
        <w:pStyle w:val="Heading2"/>
      </w:pPr>
      <w:r>
        <w:t>2.1 Auto-Merge Settings</w:t>
      </w:r>
    </w:p>
    <w:p>
      <w:pPr>
        <w:pStyle w:val="NoSpacing"/>
        <w:shd w:fill="F5F5F5" w:val="clear"/>
        <w:ind w:left="432"/>
      </w:pPr>
      <w:r>
        <w:rPr>
          <w:rFonts w:ascii="Consolas" w:hAnsi="Consolas"/>
          <w:sz w:val="18"/>
        </w:rPr>
        <w:t># Reltio auto-merge configuration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"matchRuleSet": "Individual_PrimaryRules",</w:t>
      </w:r>
    </w:p>
    <w:p>
      <w:pPr>
        <w:pStyle w:val="NoSpacing"/>
        <w:shd w:fill="F5F5F5" w:val="clear"/>
        <w:ind w:left="432"/>
      </w:pPr>
      <w:r>
        <w:rPr>
          <w:rFonts w:ascii="Consolas" w:hAnsi="Consolas"/>
          <w:sz w:val="18"/>
        </w:rPr>
        <w:t xml:space="preserve">  "autoMergeSettings": {</w:t>
      </w:r>
    </w:p>
    <w:p>
      <w:pPr>
        <w:pStyle w:val="NoSpacing"/>
        <w:shd w:fill="F5F5F5" w:val="clear"/>
        <w:ind w:left="432"/>
      </w:pPr>
      <w:r>
        <w:rPr>
          <w:rFonts w:ascii="Consolas" w:hAnsi="Consolas"/>
          <w:sz w:val="18"/>
        </w:rPr>
        <w:t xml:space="preserve">    "enabled": true,</w:t>
      </w:r>
    </w:p>
    <w:p>
      <w:pPr>
        <w:pStyle w:val="NoSpacing"/>
        <w:shd w:fill="F5F5F5" w:val="clear"/>
        <w:ind w:left="432"/>
      </w:pPr>
      <w:r>
        <w:rPr>
          <w:rFonts w:ascii="Consolas" w:hAnsi="Consolas"/>
          <w:sz w:val="18"/>
        </w:rPr>
        <w:t xml:space="preserve">    "mergeThreshold": 0.95,</w:t>
      </w:r>
    </w:p>
    <w:p>
      <w:pPr>
        <w:pStyle w:val="NoSpacing"/>
        <w:shd w:fill="F5F5F5" w:val="clear"/>
        <w:ind w:left="432"/>
      </w:pPr>
      <w:r>
        <w:rPr>
          <w:rFonts w:ascii="Consolas" w:hAnsi="Consolas"/>
          <w:sz w:val="18"/>
        </w:rPr>
        <w:t xml:space="preserve">    "mergeDelay": 0,          // Merge immediately (seconds)</w:t>
      </w:r>
    </w:p>
    <w:p>
      <w:pPr>
        <w:pStyle w:val="NoSpacing"/>
        <w:shd w:fill="F5F5F5" w:val="clear"/>
        <w:ind w:left="432"/>
      </w:pPr>
      <w:r>
        <w:rPr>
          <w:rFonts w:ascii="Consolas" w:hAnsi="Consolas"/>
          <w:sz w:val="18"/>
        </w:rPr>
        <w:t xml:space="preserve">    "notifyOnMerge": true,    // Webhook to ops team</w:t>
      </w:r>
    </w:p>
    <w:p>
      <w:pPr>
        <w:pStyle w:val="NoSpacing"/>
        <w:shd w:fill="F5F5F5" w:val="clear"/>
        <w:ind w:left="432"/>
      </w:pPr>
      <w:r>
        <w:rPr>
          <w:rFonts w:ascii="Consolas" w:hAnsi="Consolas"/>
          <w:sz w:val="18"/>
        </w:rPr>
        <w:t xml:space="preserve">    "maxMergeDepth": 50,      // Max entities in a single merge cluster</w:t>
      </w:r>
    </w:p>
    <w:p>
      <w:pPr>
        <w:pStyle w:val="NoSpacing"/>
        <w:shd w:fill="F5F5F5" w:val="clear"/>
        <w:ind w:left="432"/>
      </w:pPr>
      <w:r>
        <w:rPr>
          <w:rFonts w:ascii="Consolas" w:hAnsi="Consolas"/>
          <w:sz w:val="18"/>
        </w:rPr>
        <w:t xml:space="preserve">    "batchMergeEnabled": true // Allow bulk API merge operations</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2"/>
      </w:pPr>
      <w:r>
        <w:t>2.2 Auto-Merge Guardrails</w:t>
      </w:r>
    </w:p>
    <w:p>
      <w:pPr>
        <w:pStyle w:val="ListBullet"/>
      </w:pPr>
      <w:r>
        <w:t>Maximum merge cluster size: Configure maxMergeDepth to prevent runaway merges of unrelated entities</w:t>
      </w:r>
    </w:p>
    <w:p>
      <w:pPr>
        <w:pStyle w:val="ListBullet"/>
      </w:pPr>
      <w:r>
        <w:t>High-value entity protection: Flag VIP customers or key suppliers for mandatory review regardless of score</w:t>
      </w:r>
    </w:p>
    <w:p>
      <w:pPr>
        <w:pStyle w:val="ListBullet"/>
      </w:pPr>
      <w:r>
        <w:t>Merge rate monitoring: Alert if auto-merge rate exceeds 2x historical average in any hour</w:t>
      </w:r>
    </w:p>
    <w:p>
      <w:pPr>
        <w:pStyle w:val="ListBullet"/>
      </w:pPr>
      <w:r>
        <w:t>Merge reversal SLA: Define unmerge SLA (1 business hour for critical records) if false merge detected</w:t>
      </w:r>
    </w:p>
    <w:p>
      <w:pPr>
        <w:pStyle w:val="Heading1"/>
      </w:pPr>
      <w:r>
        <w:t>3. Review Workflow Design</w:t>
      </w:r>
    </w:p>
    <w:p>
      <w:pPr>
        <w:pStyle w:val="Heading2"/>
      </w:pPr>
      <w:r>
        <w:t>3.1 Task Routing Rules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Condition</w:t>
            </w:r>
          </w:p>
        </w:tc>
        <w:tc>
          <w:tcPr>
            <w:tcW w:type="dxa" w:w="3120"/>
            <w:shd w:fill="0C548A" w:val="clear"/>
          </w:tcPr>
          <w:p>
            <w:r>
              <w:rPr>
                <w:b/>
                <w:color w:val="FFFFFF"/>
                <w:sz w:val="20"/>
              </w:rPr>
              <w:t>Assignment Rule</w:t>
            </w:r>
          </w:p>
        </w:tc>
        <w:tc>
          <w:tcPr>
            <w:tcW w:type="dxa" w:w="3120"/>
            <w:shd w:fill="0C548A" w:val="clear"/>
          </w:tcPr>
          <w:p>
            <w:r>
              <w:rPr>
                <w:b/>
                <w:color w:val="FFFFFF"/>
                <w:sz w:val="20"/>
              </w:rPr>
              <w:t>SLA</w:t>
            </w:r>
          </w:p>
        </w:tc>
      </w:tr>
      <w:tr>
        <w:tc>
          <w:tcPr>
            <w:tcW w:type="dxa" w:w="3120"/>
          </w:tcPr>
          <w:p>
            <w:r>
              <w:rPr>
                <w:sz w:val="20"/>
              </w:rPr>
              <w:t>Same domain, same steward territory</w:t>
            </w:r>
          </w:p>
        </w:tc>
        <w:tc>
          <w:tcPr>
            <w:tcW w:type="dxa" w:w="3120"/>
          </w:tcPr>
          <w:p>
            <w:r>
              <w:rPr>
                <w:sz w:val="20"/>
              </w:rPr>
              <w:t>Assign to territory steward</w:t>
            </w:r>
          </w:p>
        </w:tc>
        <w:tc>
          <w:tcPr>
            <w:tcW w:type="dxa" w:w="3120"/>
          </w:tcPr>
          <w:p>
            <w:r>
              <w:rPr>
                <w:sz w:val="20"/>
              </w:rPr>
              <w:t>24 hours</w:t>
            </w:r>
          </w:p>
        </w:tc>
      </w:tr>
      <w:tr>
        <w:tc>
          <w:tcPr>
            <w:tcW w:type="dxa" w:w="3120"/>
            <w:shd w:fill="F4F6FA" w:val="clear"/>
          </w:tcPr>
          <w:p>
            <w:r>
              <w:rPr>
                <w:sz w:val="20"/>
              </w:rPr>
              <w:t>Cross-domain merge (Individual + Org)</w:t>
            </w:r>
          </w:p>
        </w:tc>
        <w:tc>
          <w:tcPr>
            <w:tcW w:type="dxa" w:w="3120"/>
            <w:shd w:fill="F4F6FA" w:val="clear"/>
          </w:tcPr>
          <w:p>
            <w:r>
              <w:rPr>
                <w:sz w:val="20"/>
              </w:rPr>
              <w:t>Assign to both domain stewards</w:t>
            </w:r>
          </w:p>
        </w:tc>
        <w:tc>
          <w:tcPr>
            <w:tcW w:type="dxa" w:w="3120"/>
            <w:shd w:fill="F4F6FA" w:val="clear"/>
          </w:tcPr>
          <w:p>
            <w:r>
              <w:rPr>
                <w:sz w:val="20"/>
              </w:rPr>
              <w:t>8 hours</w:t>
            </w:r>
          </w:p>
        </w:tc>
      </w:tr>
      <w:tr>
        <w:tc>
          <w:tcPr>
            <w:tcW w:type="dxa" w:w="3120"/>
          </w:tcPr>
          <w:p>
            <w:r>
              <w:rPr>
                <w:sz w:val="20"/>
              </w:rPr>
              <w:t>VIP customer flag on either entity</w:t>
            </w:r>
          </w:p>
        </w:tc>
        <w:tc>
          <w:tcPr>
            <w:tcW w:type="dxa" w:w="3120"/>
          </w:tcPr>
          <w:p>
            <w:r>
              <w:rPr>
                <w:sz w:val="20"/>
              </w:rPr>
              <w:t>Assign to Senior Steward</w:t>
            </w:r>
          </w:p>
        </w:tc>
        <w:tc>
          <w:tcPr>
            <w:tcW w:type="dxa" w:w="3120"/>
          </w:tcPr>
          <w:p>
            <w:r>
              <w:rPr>
                <w:sz w:val="20"/>
              </w:rPr>
              <w:t>4 hours</w:t>
            </w:r>
          </w:p>
        </w:tc>
      </w:tr>
      <w:tr>
        <w:tc>
          <w:tcPr>
            <w:tcW w:type="dxa" w:w="3120"/>
            <w:shd w:fill="F4F6FA" w:val="clear"/>
          </w:tcPr>
          <w:p>
            <w:r>
              <w:rPr>
                <w:sz w:val="20"/>
              </w:rPr>
              <w:t>High-revenue account (revenue &gt; $1M)</w:t>
            </w:r>
          </w:p>
        </w:tc>
        <w:tc>
          <w:tcPr>
            <w:tcW w:type="dxa" w:w="3120"/>
            <w:shd w:fill="F4F6FA" w:val="clear"/>
          </w:tcPr>
          <w:p>
            <w:r>
              <w:rPr>
                <w:sz w:val="20"/>
              </w:rPr>
              <w:t>Assign to Domain Owner for approval</w:t>
            </w:r>
          </w:p>
        </w:tc>
        <w:tc>
          <w:tcPr>
            <w:tcW w:type="dxa" w:w="3120"/>
            <w:shd w:fill="F4F6FA" w:val="clear"/>
          </w:tcPr>
          <w:p>
            <w:r>
              <w:rPr>
                <w:sz w:val="20"/>
              </w:rPr>
              <w:t>4 hours</w:t>
            </w:r>
          </w:p>
        </w:tc>
      </w:tr>
      <w:tr>
        <w:tc>
          <w:tcPr>
            <w:tcW w:type="dxa" w:w="3120"/>
          </w:tcPr>
          <w:p>
            <w:r>
              <w:rPr>
                <w:sz w:val="20"/>
              </w:rPr>
              <w:t>Unassigned territory</w:t>
            </w:r>
          </w:p>
        </w:tc>
        <w:tc>
          <w:tcPr>
            <w:tcW w:type="dxa" w:w="3120"/>
          </w:tcPr>
          <w:p>
            <w:r>
              <w:rPr>
                <w:sz w:val="20"/>
              </w:rPr>
              <w:t>Assign to on-call steward</w:t>
            </w:r>
          </w:p>
        </w:tc>
        <w:tc>
          <w:tcPr>
            <w:tcW w:type="dxa" w:w="3120"/>
          </w:tcPr>
          <w:p>
            <w:r>
              <w:rPr>
                <w:sz w:val="20"/>
              </w:rPr>
              <w:t>8 hours</w:t>
            </w:r>
          </w:p>
        </w:tc>
      </w:tr>
    </w:tbl>
    <w:p/>
    <w:p>
      <w:pPr>
        <w:pStyle w:val="Heading2"/>
      </w:pPr>
      <w:r>
        <w:t>3.2 Steward Decision Interface</w:t>
      </w:r>
    </w:p>
    <w:p>
      <w:r>
        <w:t>The Reltio potential duplicate review UI presents stewards with:</w:t>
      </w:r>
    </w:p>
    <w:p>
      <w:pPr>
        <w:pStyle w:val="ListBullet"/>
      </w:pPr>
      <w:r>
        <w:t>Side-by-side attribute comparison with differences highlighted</w:t>
      </w:r>
    </w:p>
    <w:p>
      <w:pPr>
        <w:pStyle w:val="ListBullet"/>
      </w:pPr>
      <w:r>
        <w:t>Source system badges showing which system each value comes from</w:t>
      </w:r>
    </w:p>
    <w:p>
      <w:pPr>
        <w:pStyle w:val="ListBullet"/>
      </w:pPr>
      <w:r>
        <w:t>Match score breakdown showing which attributes contributed to the score</w:t>
      </w:r>
    </w:p>
    <w:p>
      <w:pPr>
        <w:pStyle w:val="ListBullet"/>
      </w:pPr>
      <w:r>
        <w:t>Recommended action based on ML survivorship model (if enabled)</w:t>
      </w:r>
    </w:p>
    <w:p>
      <w:pPr>
        <w:pStyle w:val="ListBullet"/>
      </w:pPr>
      <w:r>
        <w:t>Entity history and audit trail for both records</w:t>
      </w:r>
    </w:p>
    <w:p>
      <w:pPr>
        <w:pStyle w:val="ListBullet"/>
      </w:pPr>
      <w:r>
        <w:t>One-click Merge, Not a Duplicate, or Pending actions</w:t>
      </w:r>
    </w:p>
    <w:p>
      <w:pPr>
        <w:pStyle w:val="Heading1"/>
      </w:pPr>
      <w:r>
        <w:t>4. Post-Merge Synchronization</w:t>
      </w:r>
    </w:p>
    <w:p>
      <w:pPr>
        <w:pStyle w:val="Heading2"/>
      </w:pPr>
      <w:r>
        <w:t>4.1 Reltio Streams Post-Merge Events</w:t>
      </w:r>
    </w:p>
    <w:p>
      <w:pPr>
        <w:pStyle w:val="NoSpacing"/>
        <w:shd w:fill="F5F5F5" w:val="clear"/>
        <w:ind w:left="432"/>
      </w:pPr>
      <w:r>
        <w:rPr>
          <w:rFonts w:ascii="Consolas" w:hAnsi="Consolas"/>
          <w:sz w:val="18"/>
        </w:rPr>
        <w:t># Post-merge stream event payload</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"eventType": "MERGE",</w:t>
      </w:r>
    </w:p>
    <w:p>
      <w:pPr>
        <w:pStyle w:val="NoSpacing"/>
        <w:shd w:fill="F5F5F5" w:val="clear"/>
        <w:ind w:left="432"/>
      </w:pPr>
      <w:r>
        <w:rPr>
          <w:rFonts w:ascii="Consolas" w:hAnsi="Consolas"/>
          <w:sz w:val="18"/>
        </w:rPr>
        <w:t xml:space="preserve">  "timestamp": "2026-03-04T14:32:00Z",</w:t>
      </w:r>
    </w:p>
    <w:p>
      <w:pPr>
        <w:pStyle w:val="NoSpacing"/>
        <w:shd w:fill="F5F5F5" w:val="clear"/>
        <w:ind w:left="432"/>
      </w:pPr>
      <w:r>
        <w:rPr>
          <w:rFonts w:ascii="Consolas" w:hAnsi="Consolas"/>
          <w:sz w:val="18"/>
        </w:rPr>
        <w:t xml:space="preserve">  "survivingEntity": "configuration/entities/{survivingId}",</w:t>
      </w:r>
    </w:p>
    <w:p>
      <w:pPr>
        <w:pStyle w:val="NoSpacing"/>
        <w:shd w:fill="F5F5F5" w:val="clear"/>
        <w:ind w:left="432"/>
      </w:pPr>
      <w:r>
        <w:rPr>
          <w:rFonts w:ascii="Consolas" w:hAnsi="Consolas"/>
          <w:sz w:val="18"/>
        </w:rPr>
        <w:t xml:space="preserve">  "mergedEntities": [</w:t>
      </w:r>
    </w:p>
    <w:p>
      <w:pPr>
        <w:pStyle w:val="NoSpacing"/>
        <w:shd w:fill="F5F5F5" w:val="clear"/>
        <w:ind w:left="432"/>
      </w:pPr>
      <w:r>
        <w:rPr>
          <w:rFonts w:ascii="Consolas" w:hAnsi="Consolas"/>
          <w:sz w:val="18"/>
        </w:rPr>
        <w:t xml:space="preserve">    "configuration/entities/{mergedId1}",</w:t>
      </w:r>
    </w:p>
    <w:p>
      <w:pPr>
        <w:pStyle w:val="NoSpacing"/>
        <w:shd w:fill="F5F5F5" w:val="clear"/>
        <w:ind w:left="432"/>
      </w:pPr>
      <w:r>
        <w:rPr>
          <w:rFonts w:ascii="Consolas" w:hAnsi="Consolas"/>
          <w:sz w:val="18"/>
        </w:rPr>
        <w:t xml:space="preserve">    "configuration/entities/{mergedId2}"</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"crossReferences": [</w:t>
      </w:r>
    </w:p>
    <w:p>
      <w:pPr>
        <w:pStyle w:val="NoSpacing"/>
        <w:shd w:fill="F5F5F5" w:val="clear"/>
        <w:ind w:left="432"/>
      </w:pPr>
      <w:r>
        <w:rPr>
          <w:rFonts w:ascii="Consolas" w:hAnsi="Consolas"/>
          <w:sz w:val="18"/>
        </w:rPr>
        <w:t xml:space="preserve">    {"type": "SFDC_CONTACT", "value": "003xx000001"},</w:t>
      </w:r>
    </w:p>
    <w:p>
      <w:pPr>
        <w:pStyle w:val="NoSpacing"/>
        <w:shd w:fill="F5F5F5" w:val="clear"/>
        <w:ind w:left="432"/>
      </w:pPr>
      <w:r>
        <w:rPr>
          <w:rFonts w:ascii="Consolas" w:hAnsi="Consolas"/>
          <w:sz w:val="18"/>
        </w:rPr>
        <w:t xml:space="preserve">    {"type": "SAP_PARTNER", "value": "0000123456"},</w:t>
      </w:r>
    </w:p>
    <w:p>
      <w:pPr>
        <w:pStyle w:val="NoSpacing"/>
        <w:shd w:fill="F5F5F5" w:val="clear"/>
        <w:ind w:left="432"/>
      </w:pPr>
      <w:r>
        <w:rPr>
          <w:rFonts w:ascii="Consolas" w:hAnsi="Consolas"/>
          <w:sz w:val="18"/>
        </w:rPr>
        <w:t xml:space="preserve">    {"type": "CRM_LEAD", "value": "00Q000001"}</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"survivingAttributes": { ... }</w:t>
      </w:r>
    </w:p>
    <w:p>
      <w:pPr>
        <w:pStyle w:val="NoSpacing"/>
        <w:shd w:fill="F5F5F5" w:val="clear"/>
        <w:ind w:left="432"/>
      </w:pPr>
      <w:r>
        <w:rPr>
          <w:rFonts w:ascii="Consolas" w:hAnsi="Consolas"/>
          <w:sz w:val="18"/>
        </w:rPr>
        <w:t>}</w:t>
      </w:r>
    </w:p>
    <w:p/>
    <w:p>
      <w:pPr>
        <w:pStyle w:val="Heading2"/>
      </w:pPr>
      <w:r>
        <w:t>4.2 Downstream Sync Patterns</w:t>
      </w:r>
    </w:p>
    <w:p>
      <w:pPr>
        <w:pStyle w:val="ListBullet"/>
      </w:pPr>
      <w:r>
        <w:t>CRM Sync: On MERGE event, update CRM contact with surviving entity ID, archive merged contact</w:t>
      </w:r>
    </w:p>
    <w:p>
      <w:pPr>
        <w:pStyle w:val="ListBullet"/>
      </w:pPr>
      <w:r>
        <w:t>ERP Sync: Update SAP BP with golden entity cross-reference; mark merged BP as obsolete</w:t>
      </w:r>
    </w:p>
    <w:p>
      <w:pPr>
        <w:pStyle w:val="ListBullet"/>
      </w:pPr>
      <w:r>
        <w:t>Analytics Sync: Refresh Snowflake golden record table with surviving entity; update historical fact tables</w:t>
      </w:r>
    </w:p>
    <w:p>
      <w:pPr>
        <w:pStyle w:val="ListBullet"/>
      </w:pPr>
      <w:r>
        <w:t>Master ID Propagation: Broadcast surviving Reltio URI to all registered downstream webhooks</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Design downstream systems to be idempotent on MERGE events. They should handle the same merge event delivered multiple times without side effects — network retries and event replay are common.</w:t>
      </w:r>
    </w:p>
    <w:p/>
    <w:p>
      <w:pPr>
        <w:pStyle w:val="Heading1"/>
      </w:pPr>
      <w:r>
        <w:t>5. Unmerge &amp; Split Operations</w:t>
      </w:r>
    </w:p>
    <w:p>
      <w:pPr>
        <w:pStyle w:val="Heading2"/>
      </w:pPr>
      <w:r>
        <w:t>5.1 When to Unmerge</w:t>
      </w:r>
    </w:p>
    <w:p>
      <w:pPr>
        <w:pStyle w:val="ListBullet"/>
      </w:pPr>
      <w:r>
        <w:t>Steward identifies false merge (two different real-world entities incorrectly merged)</w:t>
      </w:r>
    </w:p>
    <w:p>
      <w:pPr>
        <w:pStyle w:val="ListBullet"/>
      </w:pPr>
      <w:r>
        <w:t>Source system reports entities that Reltio merged are actually distinct</w:t>
      </w:r>
    </w:p>
    <w:p>
      <w:pPr>
        <w:pStyle w:val="ListBullet"/>
      </w:pPr>
      <w:r>
        <w:t>Legal / compliance requirement to separate entities (name change, corporate split)</w:t>
      </w:r>
    </w:p>
    <w:p>
      <w:pPr>
        <w:pStyle w:val="Heading2"/>
      </w:pPr>
      <w:r>
        <w:t>5.2 Unmerge Process</w:t>
      </w:r>
    </w:p>
    <w:p>
      <w:pPr>
        <w:pStyle w:val="ListNumber"/>
      </w:pPr>
      <w:r>
        <w:t>Identify false merge via steward report or source system feedback</w:t>
      </w:r>
    </w:p>
    <w:p>
      <w:pPr>
        <w:pStyle w:val="ListNumber"/>
      </w:pPr>
      <w:r>
        <w:t>Raise unmerge request in governance ticket system with justification</w:t>
      </w:r>
    </w:p>
    <w:p>
      <w:pPr>
        <w:pStyle w:val="ListNumber"/>
      </w:pPr>
      <w:r>
        <w:t>Domain Owner approves unmerge request</w:t>
      </w:r>
    </w:p>
    <w:p>
      <w:pPr>
        <w:pStyle w:val="ListNumber"/>
      </w:pPr>
      <w:r>
        <w:t>Technical: Use Reltio unmerge API to split entities, restoring original cross-references</w:t>
      </w:r>
    </w:p>
    <w:p>
      <w:pPr>
        <w:pStyle w:val="ListNumber"/>
      </w:pPr>
      <w:r>
        <w:t>Add 'do not match' rule between the two entity URIs to prevent re-merge</w:t>
      </w:r>
    </w:p>
    <w:p>
      <w:pPr>
        <w:pStyle w:val="ListNumber"/>
      </w:pPr>
      <w:r>
        <w:t>Notify downstream systems of unmerge event via stream</w:t>
      </w:r>
    </w:p>
    <w:p>
      <w:pPr>
        <w:pStyle w:val="ListNumber"/>
      </w:pPr>
      <w:r>
        <w:t>Post-unmerge audit: Verify both entities have correct attributes after split</w:t>
      </w:r>
    </w:p>
    <w:p>
      <w:pPr>
        <w:pStyle w:val="NoSpacing"/>
        <w:shd w:fill="F5F5F5" w:val="clear"/>
        <w:ind w:left="432"/>
      </w:pPr>
      <w:r>
        <w:rPr>
          <w:rFonts w:ascii="Consolas" w:hAnsi="Consolas"/>
          <w:sz w:val="18"/>
        </w:rPr>
        <w:t># Unmerge API call</w:t>
      </w:r>
    </w:p>
    <w:p>
      <w:pPr>
        <w:pStyle w:val="NoSpacing"/>
        <w:shd w:fill="F5F5F5" w:val="clear"/>
        <w:ind w:left="432"/>
      </w:pPr>
      <w:r>
        <w:rPr>
          <w:rFonts w:ascii="Consolas" w:hAnsi="Consolas"/>
          <w:sz w:val="18"/>
        </w:rPr>
        <w:t>POST /reltio/api/{tenant}/operations/unmerge</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"survivingEntity": "configuration/entities/{survivingId}",</w:t>
      </w:r>
    </w:p>
    <w:p>
      <w:pPr>
        <w:pStyle w:val="NoSpacing"/>
        <w:shd w:fill="F5F5F5" w:val="clear"/>
        <w:ind w:left="432"/>
      </w:pPr>
      <w:r>
        <w:rPr>
          <w:rFonts w:ascii="Consolas" w:hAnsi="Consolas"/>
          <w:sz w:val="18"/>
        </w:rPr>
        <w:t xml:space="preserve">  "splitAttributes": {</w:t>
      </w:r>
    </w:p>
    <w:p>
      <w:pPr>
        <w:pStyle w:val="NoSpacing"/>
        <w:shd w:fill="F5F5F5" w:val="clear"/>
        <w:ind w:left="432"/>
      </w:pPr>
      <w:r>
        <w:rPr>
          <w:rFonts w:ascii="Consolas" w:hAnsi="Consolas"/>
          <w:sz w:val="18"/>
        </w:rPr>
        <w:t xml:space="preserve">    "com.example.XREF_CRM": "003xxOriginalContact",</w:t>
      </w:r>
    </w:p>
    <w:p>
      <w:pPr>
        <w:pStyle w:val="NoSpacing"/>
        <w:shd w:fill="F5F5F5" w:val="clear"/>
        <w:ind w:left="432"/>
      </w:pPr>
      <w:r>
        <w:rPr>
          <w:rFonts w:ascii="Consolas" w:hAnsi="Consolas"/>
          <w:sz w:val="18"/>
        </w:rPr>
        <w:t xml:space="preserve">    "firstName": "Jane"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1"/>
      </w:pPr>
      <w:r>
        <w:t>6. Merge Audit &amp; Compliance</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Audit Event</w:t>
            </w:r>
          </w:p>
        </w:tc>
        <w:tc>
          <w:tcPr>
            <w:tcW w:type="dxa" w:w="2340"/>
            <w:shd w:fill="0C548A" w:val="clear"/>
          </w:tcPr>
          <w:p>
            <w:r>
              <w:rPr>
                <w:b/>
                <w:color w:val="FFFFFF"/>
                <w:sz w:val="20"/>
              </w:rPr>
              <w:t>Logged Fields</w:t>
            </w:r>
          </w:p>
        </w:tc>
        <w:tc>
          <w:tcPr>
            <w:tcW w:type="dxa" w:w="2340"/>
            <w:shd w:fill="0C548A" w:val="clear"/>
          </w:tcPr>
          <w:p>
            <w:r>
              <w:rPr>
                <w:b/>
                <w:color w:val="FFFFFF"/>
                <w:sz w:val="20"/>
              </w:rPr>
              <w:t>Retention</w:t>
            </w:r>
          </w:p>
        </w:tc>
        <w:tc>
          <w:tcPr>
            <w:tcW w:type="dxa" w:w="2340"/>
            <w:shd w:fill="0C548A" w:val="clear"/>
          </w:tcPr>
          <w:p>
            <w:r>
              <w:rPr>
                <w:b/>
                <w:color w:val="FFFFFF"/>
                <w:sz w:val="20"/>
              </w:rPr>
              <w:t>Purpose</w:t>
            </w:r>
          </w:p>
        </w:tc>
      </w:tr>
      <w:tr>
        <w:tc>
          <w:tcPr>
            <w:tcW w:type="dxa" w:w="2340"/>
          </w:tcPr>
          <w:p>
            <w:r>
              <w:rPr>
                <w:sz w:val="20"/>
              </w:rPr>
              <w:t>Auto-Merge</w:t>
            </w:r>
          </w:p>
        </w:tc>
        <w:tc>
          <w:tcPr>
            <w:tcW w:type="dxa" w:w="2340"/>
          </w:tcPr>
          <w:p>
            <w:r>
              <w:rPr>
                <w:sz w:val="20"/>
              </w:rPr>
              <w:t>Entities merged, score, rule fired, timestamp, system</w:t>
            </w:r>
          </w:p>
        </w:tc>
        <w:tc>
          <w:tcPr>
            <w:tcW w:type="dxa" w:w="2340"/>
          </w:tcPr>
          <w:p>
            <w:r>
              <w:rPr>
                <w:sz w:val="20"/>
              </w:rPr>
              <w:t>7 years</w:t>
            </w:r>
          </w:p>
        </w:tc>
        <w:tc>
          <w:tcPr>
            <w:tcW w:type="dxa" w:w="2340"/>
          </w:tcPr>
          <w:p>
            <w:r>
              <w:rPr>
                <w:sz w:val="20"/>
              </w:rPr>
              <w:t>Compliance, QA</w:t>
            </w:r>
          </w:p>
        </w:tc>
      </w:tr>
      <w:tr>
        <w:tc>
          <w:tcPr>
            <w:tcW w:type="dxa" w:w="2340"/>
            <w:shd w:fill="F4F6FA" w:val="clear"/>
          </w:tcPr>
          <w:p>
            <w:r>
              <w:rPr>
                <w:sz w:val="20"/>
              </w:rPr>
              <w:t>Steward Merge Decision</w:t>
            </w:r>
          </w:p>
        </w:tc>
        <w:tc>
          <w:tcPr>
            <w:tcW w:type="dxa" w:w="2340"/>
            <w:shd w:fill="F4F6FA" w:val="clear"/>
          </w:tcPr>
          <w:p>
            <w:r>
              <w:rPr>
                <w:sz w:val="20"/>
              </w:rPr>
              <w:t>Steward ID, decision, justification, timestamp</w:t>
            </w:r>
          </w:p>
        </w:tc>
        <w:tc>
          <w:tcPr>
            <w:tcW w:type="dxa" w:w="2340"/>
            <w:shd w:fill="F4F6FA" w:val="clear"/>
          </w:tcPr>
          <w:p>
            <w:r>
              <w:rPr>
                <w:sz w:val="20"/>
              </w:rPr>
              <w:t>7 years</w:t>
            </w:r>
          </w:p>
        </w:tc>
        <w:tc>
          <w:tcPr>
            <w:tcW w:type="dxa" w:w="2340"/>
            <w:shd w:fill="F4F6FA" w:val="clear"/>
          </w:tcPr>
          <w:p>
            <w:r>
              <w:rPr>
                <w:sz w:val="20"/>
              </w:rPr>
              <w:t>Quality audit</w:t>
            </w:r>
          </w:p>
        </w:tc>
      </w:tr>
      <w:tr>
        <w:tc>
          <w:tcPr>
            <w:tcW w:type="dxa" w:w="2340"/>
          </w:tcPr>
          <w:p>
            <w:r>
              <w:rPr>
                <w:sz w:val="20"/>
              </w:rPr>
              <w:t>Not a Duplicate Decision</w:t>
            </w:r>
          </w:p>
        </w:tc>
        <w:tc>
          <w:tcPr>
            <w:tcW w:type="dxa" w:w="2340"/>
          </w:tcPr>
          <w:p>
            <w:r>
              <w:rPr>
                <w:sz w:val="20"/>
              </w:rPr>
              <w:t>Steward ID, both entities, justification, timestamp</w:t>
            </w:r>
          </w:p>
        </w:tc>
        <w:tc>
          <w:tcPr>
            <w:tcW w:type="dxa" w:w="2340"/>
          </w:tcPr>
          <w:p>
            <w:r>
              <w:rPr>
                <w:sz w:val="20"/>
              </w:rPr>
              <w:t>7 years</w:t>
            </w:r>
          </w:p>
        </w:tc>
        <w:tc>
          <w:tcPr>
            <w:tcW w:type="dxa" w:w="2340"/>
          </w:tcPr>
          <w:p>
            <w:r>
              <w:rPr>
                <w:sz w:val="20"/>
              </w:rPr>
              <w:t>Match tuning</w:t>
            </w:r>
          </w:p>
        </w:tc>
      </w:tr>
      <w:tr>
        <w:tc>
          <w:tcPr>
            <w:tcW w:type="dxa" w:w="2340"/>
            <w:shd w:fill="F4F6FA" w:val="clear"/>
          </w:tcPr>
          <w:p>
            <w:r>
              <w:rPr>
                <w:sz w:val="20"/>
              </w:rPr>
              <w:t>Unmerge</w:t>
            </w:r>
          </w:p>
        </w:tc>
        <w:tc>
          <w:tcPr>
            <w:tcW w:type="dxa" w:w="2340"/>
            <w:shd w:fill="F4F6FA" w:val="clear"/>
          </w:tcPr>
          <w:p>
            <w:r>
              <w:rPr>
                <w:sz w:val="20"/>
              </w:rPr>
              <w:t>Approver, requester, justification, affected systems</w:t>
            </w:r>
          </w:p>
        </w:tc>
        <w:tc>
          <w:tcPr>
            <w:tcW w:type="dxa" w:w="2340"/>
            <w:shd w:fill="F4F6FA" w:val="clear"/>
          </w:tcPr>
          <w:p>
            <w:r>
              <w:rPr>
                <w:sz w:val="20"/>
              </w:rPr>
              <w:t>7 years</w:t>
            </w:r>
          </w:p>
        </w:tc>
        <w:tc>
          <w:tcPr>
            <w:tcW w:type="dxa" w:w="2340"/>
            <w:shd w:fill="F4F6FA" w:val="clear"/>
          </w:tcPr>
          <w:p>
            <w:r>
              <w:rPr>
                <w:sz w:val="20"/>
              </w:rPr>
              <w:t>Compliance</w:t>
            </w:r>
          </w:p>
        </w:tc>
      </w:tr>
      <w:tr>
        <w:tc>
          <w:tcPr>
            <w:tcW w:type="dxa" w:w="2340"/>
          </w:tcPr>
          <w:p>
            <w:r>
              <w:rPr>
                <w:sz w:val="20"/>
              </w:rPr>
              <w:t>Override Decision</w:t>
            </w:r>
          </w:p>
        </w:tc>
        <w:tc>
          <w:tcPr>
            <w:tcW w:type="dxa" w:w="2340"/>
          </w:tcPr>
          <w:p>
            <w:r>
              <w:rPr>
                <w:sz w:val="20"/>
              </w:rPr>
              <w:t>Attribute, previous value, new value, steward ID</w:t>
            </w:r>
          </w:p>
        </w:tc>
        <w:tc>
          <w:tcPr>
            <w:tcW w:type="dxa" w:w="2340"/>
          </w:tcPr>
          <w:p>
            <w:r>
              <w:rPr>
                <w:sz w:val="20"/>
              </w:rPr>
              <w:t>7 years</w:t>
            </w:r>
          </w:p>
        </w:tc>
        <w:tc>
          <w:tcPr>
            <w:tcW w:type="dxa" w:w="2340"/>
          </w:tcPr>
          <w:p>
            <w:r>
              <w:rPr>
                <w:sz w:val="20"/>
              </w:rPr>
              <w:t>Data lineage</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MM-001: Match Rule Development</w:t>
            </w:r>
          </w:p>
        </w:tc>
        <w:tc>
          <w:tcPr>
            <w:tcW w:type="dxa" w:w="4680"/>
          </w:tcPr>
          <w:p>
            <w:r>
              <w:rPr>
                <w:sz w:val="20"/>
              </w:rPr>
              <w:t>Reltio Asset Library</w:t>
            </w:r>
          </w:p>
        </w:tc>
      </w:tr>
      <w:tr>
        <w:tc>
          <w:tcPr>
            <w:tcW w:type="dxa" w:w="4680"/>
            <w:shd w:fill="F4F6FA" w:val="clear"/>
          </w:tcPr>
          <w:p>
            <w:r>
              <w:rPr>
                <w:sz w:val="20"/>
              </w:rPr>
              <w:t>MM-002: Survivorship Strategies</w:t>
            </w:r>
          </w:p>
        </w:tc>
        <w:tc>
          <w:tcPr>
            <w:tcW w:type="dxa" w:w="4680"/>
            <w:shd w:fill="F4F6FA" w:val="clear"/>
          </w:tcPr>
          <w:p>
            <w:r>
              <w:rPr>
                <w:sz w:val="20"/>
              </w:rPr>
              <w:t>Reltio Asset Library</w:t>
            </w:r>
          </w:p>
        </w:tc>
      </w:tr>
      <w:tr>
        <w:tc>
          <w:tcPr>
            <w:tcW w:type="dxa" w:w="4680"/>
          </w:tcPr>
          <w:p>
            <w:r>
              <w:rPr>
                <w:sz w:val="20"/>
              </w:rPr>
              <w:t>GOV-002: Master Data Stewardship Guide</w:t>
            </w:r>
          </w:p>
        </w:tc>
        <w:tc>
          <w:tcPr>
            <w:tcW w:type="dxa" w:w="4680"/>
          </w:tcPr>
          <w:p>
            <w:r>
              <w:rPr>
                <w:sz w:val="20"/>
              </w:rPr>
              <w:t>Reltio Asset Library</w:t>
            </w:r>
          </w:p>
        </w:tc>
      </w:tr>
      <w:tr>
        <w:tc>
          <w:tcPr>
            <w:tcW w:type="dxa" w:w="4680"/>
            <w:shd w:fill="F4F6FA" w:val="clear"/>
          </w:tcPr>
          <w:p>
            <w:r>
              <w:rPr>
                <w:sz w:val="20"/>
              </w:rPr>
              <w:t>INT-004: Real-Time Sync Patterns</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